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Default="00A5536B" w:rsidP="00A5536B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ANEXO I - </w:t>
      </w:r>
      <w:r w:rsidRPr="00751F41">
        <w:rPr>
          <w:rFonts w:cs="Calibri"/>
          <w:b/>
          <w:sz w:val="24"/>
          <w:szCs w:val="24"/>
        </w:rPr>
        <w:t>TERMO DE REFERÊNCIA</w:t>
      </w:r>
    </w:p>
    <w:p w:rsidR="00A5536B" w:rsidRPr="00751F41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 – JUSTIFICATIVA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1.1- A contratação em vista faz-se necessária para atender aos eventos, reuniões e cerimônias que serão realizadas por esta casa, ordinárias e extraordinárias. Também se justifica a contratação para atendimento à cantina da Câmara Municipal de Quirinópolis, já que depende desta contratação o fornecimento diário dos lanches dos servidores e vereadores desta casa.</w:t>
      </w:r>
      <w:r w:rsidRPr="00751F41">
        <w:rPr>
          <w:rFonts w:cs="Calibri"/>
          <w:sz w:val="24"/>
          <w:szCs w:val="24"/>
        </w:rPr>
        <w:t xml:space="preserve"> 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1.2- A contratação de fornecimento de lanches justifica-se pelas possíveis realizações de Sessões Solenes, Seminários, Simpósios e Eventos Culturais (em anexo Agenda de Eventos). Esta programação possivelmente trará inúmeros representantes da sociedade civil e militar, bem como autoridades locais e de outras cidades da região e até mesmo de outros estados. Esses eventos acima trazem palestrantes, debatedores, representantes e autoridades versadas ou interessadas em diversos assuntos programados e outras situações que reclamem adequadas acolhidas.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/>
        <w:ind w:left="390" w:hanging="390"/>
        <w:jc w:val="both"/>
        <w:rPr>
          <w:rFonts w:cs="Calibri"/>
          <w:sz w:val="24"/>
          <w:szCs w:val="24"/>
        </w:rPr>
      </w:pPr>
      <w:r w:rsidRPr="00751F41">
        <w:rPr>
          <w:rFonts w:cs="Calibri"/>
          <w:b/>
          <w:sz w:val="24"/>
          <w:szCs w:val="24"/>
        </w:rPr>
        <w:t>2 – OBJETO</w:t>
      </w:r>
    </w:p>
    <w:p w:rsidR="00A5536B" w:rsidRDefault="00A5536B" w:rsidP="00A5536B">
      <w:pPr>
        <w:spacing w:after="0"/>
        <w:jc w:val="both"/>
        <w:rPr>
          <w:rFonts w:eastAsia="Times New Roman" w:cs="Calibri"/>
          <w:sz w:val="24"/>
          <w:szCs w:val="24"/>
        </w:rPr>
      </w:pPr>
      <w:r w:rsidRPr="00751F41">
        <w:rPr>
          <w:rFonts w:cs="Calibri"/>
          <w:sz w:val="24"/>
          <w:szCs w:val="24"/>
        </w:rPr>
        <w:t>2.1</w:t>
      </w:r>
      <w:r>
        <w:rPr>
          <w:rFonts w:cs="Calibri"/>
          <w:sz w:val="24"/>
          <w:szCs w:val="24"/>
        </w:rPr>
        <w:t xml:space="preserve">- </w:t>
      </w:r>
      <w:r>
        <w:rPr>
          <w:rFonts w:eastAsia="Times New Roman" w:cs="Calibri"/>
          <w:sz w:val="24"/>
          <w:szCs w:val="24"/>
        </w:rPr>
        <w:t xml:space="preserve">Aquisição de gêneros alimentícios destinados ao fornecimento de café da manhã e lanche para a Câmara de Quirinópolis, </w:t>
      </w:r>
      <w:r w:rsidRPr="005C158A">
        <w:rPr>
          <w:rFonts w:eastAsia="Times New Roman" w:cs="Calibri"/>
          <w:sz w:val="24"/>
          <w:szCs w:val="24"/>
        </w:rPr>
        <w:t xml:space="preserve">conforme </w:t>
      </w:r>
      <w:r>
        <w:rPr>
          <w:rFonts w:eastAsia="Times New Roman" w:cs="Calibri"/>
          <w:sz w:val="24"/>
          <w:szCs w:val="24"/>
        </w:rPr>
        <w:t xml:space="preserve">especificações constantes no </w:t>
      </w:r>
      <w:r w:rsidRPr="005C158A">
        <w:rPr>
          <w:rFonts w:eastAsia="Times New Roman" w:cs="Calibri"/>
          <w:sz w:val="24"/>
          <w:szCs w:val="24"/>
        </w:rPr>
        <w:t>Anexo I deste instrumento</w:t>
      </w:r>
      <w:r>
        <w:rPr>
          <w:rFonts w:eastAsia="Times New Roman" w:cs="Calibri"/>
          <w:sz w:val="24"/>
          <w:szCs w:val="24"/>
        </w:rPr>
        <w:t xml:space="preserve"> convocatório.</w:t>
      </w:r>
    </w:p>
    <w:p w:rsidR="00A5536B" w:rsidRDefault="00A5536B" w:rsidP="00A5536B">
      <w:pPr>
        <w:spacing w:after="0"/>
        <w:jc w:val="both"/>
        <w:rPr>
          <w:rFonts w:eastAsia="Times New Roman" w:cs="Calibri"/>
          <w:b/>
          <w:sz w:val="24"/>
          <w:szCs w:val="24"/>
        </w:rPr>
      </w:pPr>
    </w:p>
    <w:p w:rsidR="00A5536B" w:rsidRPr="00C07C64" w:rsidRDefault="00A5536B" w:rsidP="00A5536B">
      <w:pPr>
        <w:spacing w:after="0"/>
        <w:jc w:val="both"/>
        <w:rPr>
          <w:rFonts w:eastAsia="Times New Roman" w:cs="Calibri"/>
          <w:b/>
          <w:sz w:val="24"/>
          <w:szCs w:val="24"/>
        </w:rPr>
      </w:pPr>
      <w:r w:rsidRPr="00C07C64">
        <w:rPr>
          <w:rFonts w:eastAsia="Times New Roman" w:cs="Calibri"/>
          <w:b/>
          <w:sz w:val="24"/>
          <w:szCs w:val="24"/>
        </w:rPr>
        <w:t>3 – DA VIGÊNCIA</w:t>
      </w:r>
    </w:p>
    <w:p w:rsidR="00A5536B" w:rsidRPr="005C158A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3.1- O contrato decorrente da licitação vigorará por 11</w:t>
      </w:r>
      <w:r w:rsidRPr="00445315">
        <w:rPr>
          <w:rFonts w:eastAsia="Times New Roman" w:cs="Calibri"/>
          <w:sz w:val="24"/>
          <w:szCs w:val="24"/>
        </w:rPr>
        <w:t xml:space="preserve"> (</w:t>
      </w:r>
      <w:r>
        <w:rPr>
          <w:rFonts w:eastAsia="Times New Roman" w:cs="Calibri"/>
          <w:sz w:val="24"/>
          <w:szCs w:val="24"/>
        </w:rPr>
        <w:t>onze</w:t>
      </w:r>
      <w:r w:rsidRPr="00445315">
        <w:rPr>
          <w:rFonts w:eastAsia="Times New Roman" w:cs="Calibri"/>
          <w:sz w:val="24"/>
          <w:szCs w:val="24"/>
        </w:rPr>
        <w:t>)</w:t>
      </w:r>
      <w:r>
        <w:rPr>
          <w:rFonts w:eastAsia="Times New Roman" w:cs="Calibri"/>
          <w:sz w:val="24"/>
          <w:szCs w:val="24"/>
        </w:rPr>
        <w:t xml:space="preserve"> meses, contados a partir da data de sua assinatura.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4 – ESPECIFICAÇÕES </w:t>
      </w:r>
      <w:r w:rsidRPr="008E3DDD">
        <w:rPr>
          <w:rFonts w:cs="Calibri"/>
          <w:b/>
          <w:sz w:val="24"/>
          <w:szCs w:val="24"/>
        </w:rPr>
        <w:t>E QUANTI</w:t>
      </w:r>
      <w:r>
        <w:rPr>
          <w:rFonts w:cs="Calibri"/>
          <w:b/>
          <w:sz w:val="24"/>
          <w:szCs w:val="24"/>
        </w:rPr>
        <w:t xml:space="preserve">TATIVOS </w:t>
      </w:r>
      <w:r w:rsidRPr="008E3DDD">
        <w:rPr>
          <w:rFonts w:cs="Calibri"/>
          <w:b/>
          <w:sz w:val="24"/>
          <w:szCs w:val="24"/>
        </w:rPr>
        <w:t>DOS PRODUTOS A SEREM FORNECIDOS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LOTE 01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73"/>
        <w:gridCol w:w="1860"/>
        <w:gridCol w:w="749"/>
        <w:gridCol w:w="851"/>
        <w:gridCol w:w="1276"/>
        <w:gridCol w:w="1842"/>
      </w:tblGrid>
      <w:tr w:rsidR="00A5536B" w:rsidRPr="00E71678" w:rsidTr="005E7632">
        <w:trPr>
          <w:trHeight w:val="404"/>
        </w:trPr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 (R$)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Enroladinho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 xml:space="preserve">” </w:t>
            </w:r>
            <w:r>
              <w:rPr>
                <w:rFonts w:eastAsia="Times New Roman" w:cs="Calibri"/>
                <w:sz w:val="24"/>
                <w:szCs w:val="24"/>
              </w:rPr>
              <w:t>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80,3333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964,0000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Enroladinho de Salsicha 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80,3333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964,0000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Coxinha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1.236,6667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Quibe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1.236,6667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Risole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706,6667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Croquete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88,3333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530,0000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Empada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87,3333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1.048,0000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Esfirra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87,3333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1.222,6667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Torta de frango</w:t>
            </w:r>
            <w:r>
              <w:rPr>
                <w:rFonts w:eastAsia="Times New Roman" w:cs="Calibr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mini pedaço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40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106,6667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1.280,0000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163,3333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1.960,0000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carne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749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163,3333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1.960,0000</w:t>
            </w:r>
          </w:p>
        </w:tc>
      </w:tr>
      <w:tr w:rsidR="00A5536B" w:rsidRPr="00E71678" w:rsidTr="005E7632">
        <w:tc>
          <w:tcPr>
            <w:tcW w:w="7905" w:type="dxa"/>
            <w:gridSpan w:val="6"/>
            <w:shd w:val="clear" w:color="auto" w:fill="auto"/>
          </w:tcPr>
          <w:p w:rsidR="00A5536B" w:rsidRPr="0010539E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13.108,6667</w:t>
            </w:r>
          </w:p>
        </w:tc>
      </w:tr>
    </w:tbl>
    <w:p w:rsidR="00A5536B" w:rsidRPr="001E4B2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E4B21">
        <w:rPr>
          <w:rFonts w:cs="Calibri"/>
          <w:b/>
          <w:sz w:val="24"/>
          <w:szCs w:val="24"/>
        </w:rPr>
        <w:t>LOTE 02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13"/>
        <w:gridCol w:w="1861"/>
        <w:gridCol w:w="667"/>
        <w:gridCol w:w="892"/>
        <w:gridCol w:w="1276"/>
        <w:gridCol w:w="1842"/>
      </w:tblGrid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 (R$)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Pão francês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13,9000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5.560,0000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Rosca Assada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  <w:r w:rsidRPr="00D71ED3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25,0000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7.500,0000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Bolos diversos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22,0000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6.600,0000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Temperada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25,5000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7.650,0000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Doce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25,1667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7.550,0000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Biscoito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33,6667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10.100,0000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Bolo Confeitado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46,3333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4.633,3333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Pão de Queijo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25,9667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12.983,3333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Presunto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28,0000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8.400,0000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Muçarela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892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34,6667</w:t>
            </w:r>
          </w:p>
        </w:tc>
        <w:tc>
          <w:tcPr>
            <w:tcW w:w="1842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10.400,0000</w:t>
            </w:r>
          </w:p>
        </w:tc>
      </w:tr>
      <w:tr w:rsidR="00A5536B" w:rsidRPr="00D71ED3" w:rsidTr="005E7632">
        <w:tc>
          <w:tcPr>
            <w:tcW w:w="79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81.376,6667</w:t>
            </w:r>
          </w:p>
        </w:tc>
      </w:tr>
    </w:tbl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3E7D65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5 – DETALHAMENTO E ESPECIFICAÇÕES DOS PRODUTOS</w:t>
      </w:r>
      <w:r w:rsidRPr="003E7D6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DO LOTE 01 E 02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5.1- Os pães deverão ser preparados com farinha de trigo especial, observando as normas de absoluta higiene;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5.2- Os bolos diversos, item </w:t>
      </w:r>
      <w:proofErr w:type="gramStart"/>
      <w:r>
        <w:rPr>
          <w:rFonts w:cs="Calibri"/>
          <w:sz w:val="24"/>
          <w:szCs w:val="24"/>
        </w:rPr>
        <w:t>3</w:t>
      </w:r>
      <w:proofErr w:type="gramEnd"/>
      <w:r>
        <w:rPr>
          <w:rFonts w:cs="Calibri"/>
          <w:sz w:val="24"/>
          <w:szCs w:val="24"/>
        </w:rPr>
        <w:t xml:space="preserve">, do lote 02, poderão variar entre: bolo de chocolate com cobertura de chocolate, cenoura com cobertura de chocolate, laranja, limão, coco ou outro desde que previamente aceito pela </w:t>
      </w:r>
      <w:r w:rsidRPr="004F1F28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5.3- O Bolo confeitado, item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, lote 02, poderá variar entre: bolo recheado com morango, ou com bombons, ou com frutas, ou leite ninho, com cobertura de glacê. 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Pr="00751F41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 xml:space="preserve">DO LOCAL, DA FORMA DE ENTREGA E </w:t>
      </w:r>
      <w:proofErr w:type="gramStart"/>
      <w:r>
        <w:rPr>
          <w:rFonts w:cs="Calibri"/>
          <w:b/>
          <w:sz w:val="24"/>
          <w:szCs w:val="24"/>
        </w:rPr>
        <w:t>QUANTITATIVOS</w:t>
      </w:r>
      <w:proofErr w:type="gramEnd"/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8E3DDD">
        <w:rPr>
          <w:rFonts w:cs="Calibri"/>
          <w:sz w:val="24"/>
          <w:szCs w:val="24"/>
        </w:rPr>
        <w:t xml:space="preserve">.1- </w:t>
      </w:r>
      <w:r>
        <w:rPr>
          <w:rFonts w:cs="Calibri"/>
          <w:sz w:val="24"/>
          <w:szCs w:val="24"/>
        </w:rPr>
        <w:t>A entrega dos itens constantes do Anexo I deverá ser realizada na sede da Câmara Municipal de Quirinópolis, em local a ser indicado pelo gestor do contrato, designado em conformidade com o artigo 67 da Lei nº 8.666/93 e deverá obedecer às especificações e quantitativos estipulados em pedido e em formulário próprio,</w:t>
      </w:r>
      <w:r w:rsidRPr="00E8567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por meio de solicitação feita pelo responsável pelo Setor de Compras;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6.2- Os quantitativos de cada produto poderão variar de acordo com a necessidade de consumo da Câmara Municipal de Quirinópolis.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6.3- A cada entrega serão conferidos os produtos, verificando-se as datas de validade constantes nas embalagens, sua inviolabilidade, bem como as demais exigências da legislação vigente;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6.4- Verificada a incompatibilidade do objeto ofertado com o exigido com o Anexo I ou que apresentarem desconformes com as exigências requisitadas neste Termo de Referência, será o contratado obrigado a substituí-lo imediatamente, sem qualquer ônus para a Administração, independentemente da aplicação das penalidades cabíveis.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6.5- A definição do horário e do quantitativo de produtos e das variedades do lote 01 e item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 do lote 02 para cada evento, a serem fornecidos, será apresentada pela Câmara à </w:t>
      </w:r>
      <w:r w:rsidRPr="008517CF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com antecedência mínima de </w:t>
      </w:r>
      <w:r w:rsidRPr="008517CF">
        <w:rPr>
          <w:rFonts w:cs="Calibri"/>
          <w:b/>
          <w:sz w:val="24"/>
          <w:szCs w:val="24"/>
        </w:rPr>
        <w:t>24 (vinte e quatro)</w:t>
      </w:r>
      <w:r>
        <w:rPr>
          <w:rFonts w:cs="Calibri"/>
          <w:sz w:val="24"/>
          <w:szCs w:val="24"/>
        </w:rPr>
        <w:t xml:space="preserve"> horas da data do evento, mediante ato formal;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6.6- </w:t>
      </w:r>
      <w:r w:rsidRPr="00DA621E">
        <w:rPr>
          <w:rFonts w:cs="Calibri"/>
          <w:b/>
          <w:sz w:val="24"/>
          <w:szCs w:val="24"/>
        </w:rPr>
        <w:t>A CONTRATADA</w:t>
      </w:r>
      <w:r>
        <w:rPr>
          <w:rFonts w:cs="Calibri"/>
          <w:sz w:val="24"/>
          <w:szCs w:val="24"/>
        </w:rPr>
        <w:t xml:space="preserve"> deverá manter atendimento para recebimento das demandas da Câmara no período de 8h00min </w:t>
      </w:r>
      <w:proofErr w:type="gramStart"/>
      <w:r>
        <w:rPr>
          <w:rFonts w:cs="Calibri"/>
          <w:sz w:val="24"/>
          <w:szCs w:val="24"/>
        </w:rPr>
        <w:t>às</w:t>
      </w:r>
      <w:proofErr w:type="gramEnd"/>
      <w:r>
        <w:rPr>
          <w:rFonts w:cs="Calibri"/>
          <w:sz w:val="24"/>
          <w:szCs w:val="24"/>
        </w:rPr>
        <w:t xml:space="preserve"> 18h00min dos dias úteis;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6.7- A </w:t>
      </w:r>
      <w:r w:rsidRPr="00C63BA2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deverá se apresentar na Câmara com </w:t>
      </w:r>
      <w:r w:rsidRPr="00C63BA2">
        <w:rPr>
          <w:rFonts w:cs="Calibri"/>
          <w:b/>
          <w:sz w:val="24"/>
          <w:szCs w:val="24"/>
        </w:rPr>
        <w:t>antecedência mínima de 30 (trinta) minutos do início previsto para cada evento</w:t>
      </w:r>
      <w:r>
        <w:rPr>
          <w:rFonts w:cs="Calibri"/>
          <w:sz w:val="24"/>
          <w:szCs w:val="24"/>
        </w:rPr>
        <w:t xml:space="preserve">, conforme horário indicado pela Câmara na comunicação de que trata o subitem 6.4 deste anexo. 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6.8- Os produtos do lote 02, com exceção do item </w:t>
      </w:r>
      <w:proofErr w:type="gramStart"/>
      <w:r>
        <w:rPr>
          <w:rFonts w:cs="Calibri"/>
          <w:sz w:val="24"/>
          <w:szCs w:val="24"/>
        </w:rPr>
        <w:t>7</w:t>
      </w:r>
      <w:proofErr w:type="gramEnd"/>
      <w:r>
        <w:rPr>
          <w:rFonts w:cs="Calibri"/>
          <w:sz w:val="24"/>
          <w:szCs w:val="24"/>
        </w:rPr>
        <w:t xml:space="preserve">, serão solicitadas pelo Setor de Compras de acordo com a sua necessidade, sendo informada a </w:t>
      </w:r>
      <w:r w:rsidRPr="00976C68">
        <w:rPr>
          <w:rFonts w:cs="Calibri"/>
          <w:b/>
          <w:sz w:val="24"/>
          <w:szCs w:val="24"/>
        </w:rPr>
        <w:t>CONTRATADA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com antecedência mínima de </w:t>
      </w:r>
      <w:r w:rsidRPr="008517CF">
        <w:rPr>
          <w:rFonts w:cs="Calibri"/>
          <w:b/>
          <w:sz w:val="24"/>
          <w:szCs w:val="24"/>
        </w:rPr>
        <w:t>24 (vinte e quatro)</w:t>
      </w:r>
      <w:r>
        <w:rPr>
          <w:rFonts w:cs="Calibri"/>
          <w:sz w:val="24"/>
          <w:szCs w:val="24"/>
        </w:rPr>
        <w:t xml:space="preserve"> horas e a entrega será no período matutino entre 7h00min às 7h15min.</w:t>
      </w:r>
    </w:p>
    <w:p w:rsidR="00A5536B" w:rsidRPr="00DA621E" w:rsidRDefault="00A5536B" w:rsidP="00A553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6.9-</w:t>
      </w:r>
      <w:r w:rsidRPr="00DA621E">
        <w:rPr>
          <w:sz w:val="24"/>
          <w:szCs w:val="24"/>
        </w:rPr>
        <w:t xml:space="preserve"> Não há a obrigatoriedade de se pedir todos os itens em todos os eventos, mas que a Câmara Municipal de Quirinópolis se reserva o direito de solicitar aqueles que forem de sua necessidade em cada evento que realizar; </w:t>
      </w:r>
    </w:p>
    <w:p w:rsidR="00A5536B" w:rsidRPr="00DA621E" w:rsidRDefault="00A5536B" w:rsidP="00A5536B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6.10-</w:t>
      </w:r>
      <w:r w:rsidRPr="00DA621E">
        <w:rPr>
          <w:sz w:val="24"/>
          <w:szCs w:val="24"/>
        </w:rPr>
        <w:t xml:space="preserve"> Os salgados, cujas unidades estão definidas como </w:t>
      </w:r>
      <w:r>
        <w:rPr>
          <w:sz w:val="24"/>
          <w:szCs w:val="24"/>
        </w:rPr>
        <w:t>“cento”</w:t>
      </w:r>
      <w:r w:rsidRPr="00DA621E">
        <w:rPr>
          <w:sz w:val="24"/>
          <w:szCs w:val="24"/>
        </w:rPr>
        <w:t xml:space="preserve"> poderão ser solicitados de forma fracionada</w:t>
      </w:r>
      <w:r>
        <w:rPr>
          <w:sz w:val="24"/>
          <w:szCs w:val="24"/>
        </w:rPr>
        <w:t>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775A85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 w:rsidRPr="00775A85">
        <w:rPr>
          <w:rFonts w:cs="Calibri"/>
          <w:b/>
          <w:sz w:val="24"/>
          <w:szCs w:val="24"/>
        </w:rPr>
        <w:t xml:space="preserve"> – DO PAGAMENTO PELOS PRODUTOS RECEBIDOS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7.1- O pagamento será mensal devendo a contratada emitir a Nota Fiscal dos Produtos consumidos, que será atestada pelo Gestor de Contrato.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7.2- A </w:t>
      </w:r>
      <w:r w:rsidRPr="002E63BD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deverá possuir conta bancária de pessoa jurídica na Caixa Econômica Federal ou cadastro no PIX.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D82D08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Pr="00D82D08">
        <w:rPr>
          <w:rFonts w:cs="Calibri"/>
          <w:b/>
          <w:sz w:val="24"/>
          <w:szCs w:val="24"/>
        </w:rPr>
        <w:t xml:space="preserve"> – DA FISCALIZAÇÃO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8.1- A fiscalização da prestação dos produtos será exercida pelo Gestor de Contrato, ao qual competirá dirimir as dúvidas que surgirem no curso da execução, dando ciência de tudo à </w:t>
      </w:r>
      <w:r w:rsidRPr="003B68F4">
        <w:rPr>
          <w:rFonts w:cs="Calibri"/>
          <w:b/>
          <w:sz w:val="24"/>
          <w:szCs w:val="24"/>
        </w:rPr>
        <w:t>CO</w:t>
      </w:r>
      <w:r>
        <w:rPr>
          <w:rFonts w:cs="Calibri"/>
          <w:b/>
          <w:sz w:val="24"/>
          <w:szCs w:val="24"/>
        </w:rPr>
        <w:t>N</w:t>
      </w:r>
      <w:r w:rsidRPr="003B68F4">
        <w:rPr>
          <w:rFonts w:cs="Calibri"/>
          <w:b/>
          <w:sz w:val="24"/>
          <w:szCs w:val="24"/>
        </w:rPr>
        <w:t>TRATADA</w:t>
      </w:r>
      <w:r>
        <w:rPr>
          <w:rFonts w:cs="Calibri"/>
          <w:sz w:val="24"/>
          <w:szCs w:val="24"/>
        </w:rPr>
        <w:t>, conforme artigo 67 da Lei nº 8.666/93, com suas alterações;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8.2- A fiscalização que trata esta Cláusula não </w:t>
      </w:r>
      <w:proofErr w:type="gramStart"/>
      <w:r>
        <w:rPr>
          <w:rFonts w:cs="Calibri"/>
          <w:sz w:val="24"/>
          <w:szCs w:val="24"/>
        </w:rPr>
        <w:t>excluí</w:t>
      </w:r>
      <w:proofErr w:type="gramEnd"/>
      <w:r>
        <w:rPr>
          <w:rFonts w:cs="Calibri"/>
          <w:sz w:val="24"/>
          <w:szCs w:val="24"/>
        </w:rPr>
        <w:t xml:space="preserve"> nem reduz a responsabilidade da </w:t>
      </w:r>
      <w:r w:rsidRPr="00D82D08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, até mesmo perante terceiro, por qualquer irregularidade, inclusive resultante de imperfeições técnicas, emprego de material inadequado ou de qualidade inferior e, na ocorrência desta, não implica corresponsabilidade do </w:t>
      </w:r>
      <w:r w:rsidRPr="00D82D08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>, conforme artigo 70 da Lei nº 8.666/93, com suas alterações;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8.3- Quaisquer exigências da fiscalização inerentes ao objeto da contratação deverão ser prontamente atendidas pela </w:t>
      </w:r>
      <w:r w:rsidRPr="00D82D08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>, sem quaisquer ônus para a Câmara Municipal de Quirinópolis.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867EFD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Pr="00867EFD">
        <w:rPr>
          <w:rFonts w:cs="Calibri"/>
          <w:b/>
          <w:sz w:val="24"/>
          <w:szCs w:val="24"/>
        </w:rPr>
        <w:t xml:space="preserve"> – DAS OBRIGAÇÕES DA CONTRATADA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9.1- Executar os serviços conforme estabelecido no contrato e conforme determinação da Câmara Municipal de Quirinópolis;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9.2- Dispor de equipamento, material e pessoal especializado e no quantitativo necessário ao cumprimento do objeto contratado;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9.3- Efetuar tantos atendimentos quantos forem solicitados durante a vigência de contrato, no prazo de máximo de </w:t>
      </w:r>
      <w:proofErr w:type="gramStart"/>
      <w:r>
        <w:rPr>
          <w:rFonts w:cs="Calibri"/>
          <w:sz w:val="24"/>
          <w:szCs w:val="24"/>
        </w:rPr>
        <w:t>2</w:t>
      </w:r>
      <w:proofErr w:type="gramEnd"/>
      <w:r>
        <w:rPr>
          <w:rFonts w:cs="Calibri"/>
          <w:sz w:val="24"/>
          <w:szCs w:val="24"/>
        </w:rPr>
        <w:t xml:space="preserve"> (duas) horas, a contar da solicitação do fornecimento;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9.4- Realizar o fornecimento de segunda a sexta-feira, nos horários compreendidos no item </w:t>
      </w:r>
      <w:proofErr w:type="gramStart"/>
      <w:r>
        <w:rPr>
          <w:rFonts w:cs="Calibri"/>
          <w:sz w:val="24"/>
          <w:szCs w:val="24"/>
        </w:rPr>
        <w:t>6</w:t>
      </w:r>
      <w:proofErr w:type="gramEnd"/>
      <w:r>
        <w:rPr>
          <w:rFonts w:cs="Calibri"/>
          <w:sz w:val="24"/>
          <w:szCs w:val="24"/>
        </w:rPr>
        <w:t>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9.5- A Nota Fiscal deverá discriminar os produtos e quantidades entregues na Câmara Municipal de Quirinópolis;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9.6- Arcar com o pagamento de taxas, impostos, encargos trabalhistas, previdenciários, comerciais e fiscais, bem como seguros, desde que resultantes da contratação com a Câmara Municipal de Quirinópolis necessários à prestação dos serviços;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9.7- Assumir todos os encargos de possível demanda trabalhista, cível ou penal, relacionada ao fornecimento, sendo de inteira responsabilidade do fornecedor a contratação de funcionários necessários à perfeita execução do fornecimento;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9.8- Aceitar, nas mesmas condições, os acréscimos e supressões no valor atualizado do contrato, até o limite de 25% (vinte e cinco por cento), consoante estabelece ao artigo 65 da Lei nº 8.666/93;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9.9- Entregar </w:t>
      </w:r>
      <w:proofErr w:type="gramStart"/>
      <w:r>
        <w:rPr>
          <w:rFonts w:cs="Calibri"/>
          <w:sz w:val="24"/>
          <w:szCs w:val="24"/>
        </w:rPr>
        <w:t>os produtos em prazos não superior ao máximo estipulado neste Termo de Referência</w:t>
      </w:r>
      <w:proofErr w:type="gramEnd"/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9.10- Garantir a qualidade de cada unidade dos produtos fornecidos, pelo prazo estabelecido na respectiva validade pelo produtor ou fornecedor, obrigando-se a repor aquele impróprio para o consumo, desde que a deterioração do item não tenha ocorrido por guarda, emprego ou manuseio </w:t>
      </w:r>
      <w:proofErr w:type="gramStart"/>
      <w:r>
        <w:rPr>
          <w:rFonts w:cs="Calibri"/>
          <w:sz w:val="24"/>
          <w:szCs w:val="24"/>
        </w:rPr>
        <w:t>indevidos</w:t>
      </w:r>
      <w:proofErr w:type="gramEnd"/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9.11- O prazo de validade dos produtos deverá estar expresso na embalagem ou produto;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9.12- Colocar à disposição do </w:t>
      </w:r>
      <w:r w:rsidRPr="003B68F4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 xml:space="preserve"> todos os meios necessários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comprovação da qualidade e operacionalidade dos bens, permitindo a verificação de sua conformidade com as especificações;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9.13- Os gêneros alimentícios (perecíveis) deverão ser de ótima qualidade e frescos, acondicionados em embalagens que garantam sua integridade e não recebam possíveis contaminações externas;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9.14- Substituir, sempre que exigido pelo </w:t>
      </w:r>
      <w:r w:rsidRPr="003B68F4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 xml:space="preserve">, qualquer um dos itens fornecidos que forem julgados prejudiciais ou insatisfatórios, sem qualquer ônus para o </w:t>
      </w:r>
      <w:r w:rsidRPr="003B68F4">
        <w:rPr>
          <w:rFonts w:cs="Calibri"/>
          <w:b/>
          <w:sz w:val="24"/>
          <w:szCs w:val="24"/>
        </w:rPr>
        <w:t>CONTRATANTE</w:t>
      </w:r>
      <w:r>
        <w:rPr>
          <w:rFonts w:cs="Calibri"/>
          <w:sz w:val="24"/>
          <w:szCs w:val="24"/>
        </w:rPr>
        <w:t>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9.15- Manter, durante toda a execução do contrato, em compatibilidade com as obrigações assumidas, todas as condições de habilitação e qualificação exigidas na fase de habilitação da licitação;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9.16- Receber os valores que lhe forem devidos pelo fornecimento dos produtos, na forma disposta neste Termo de Referência.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FB33CA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 w:rsidRPr="00FB33CA">
        <w:rPr>
          <w:rFonts w:cs="Calibri"/>
          <w:b/>
          <w:sz w:val="24"/>
          <w:szCs w:val="24"/>
        </w:rPr>
        <w:t xml:space="preserve"> – DAS OBRIGAÇÕES DA CONTRATANTE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10.1- Fornecer a </w:t>
      </w:r>
      <w:r w:rsidRPr="00FB33CA">
        <w:rPr>
          <w:rFonts w:cs="Calibri"/>
          <w:b/>
          <w:sz w:val="24"/>
          <w:szCs w:val="24"/>
        </w:rPr>
        <w:t>CONTRATADA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toda as</w:t>
      </w:r>
      <w:proofErr w:type="gramEnd"/>
      <w:r>
        <w:rPr>
          <w:rFonts w:cs="Calibri"/>
          <w:sz w:val="24"/>
          <w:szCs w:val="24"/>
        </w:rPr>
        <w:t xml:space="preserve"> informações necessárias, visando propiciar a perfeita execução dos serviços;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10.2- Proceder ao pagamento pelos serviços efetivamente realizados pela CONTRATADA, no prazo máximo de 30 (trinta) dias contados a partir da data da apresentação da Nota Fiscal, após o devido “</w:t>
      </w:r>
      <w:proofErr w:type="gramStart"/>
      <w:r>
        <w:rPr>
          <w:rFonts w:cs="Calibri"/>
          <w:sz w:val="24"/>
          <w:szCs w:val="24"/>
        </w:rPr>
        <w:t>atesto</w:t>
      </w:r>
      <w:proofErr w:type="gramEnd"/>
      <w:r>
        <w:rPr>
          <w:rFonts w:cs="Calibri"/>
          <w:sz w:val="24"/>
          <w:szCs w:val="24"/>
        </w:rPr>
        <w:t>” firmado pelo Gestor de Contrato;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10.3- Requisitar o fornecimento dos produtos, na forma prevista neste Termo de Referência;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10.4- Exigir do fornecedor o fiel cumprimento das obrigações decorrentes desta contratação;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10.5- Verificar a manutenção, pelo fornecedor, das condições de habilitação estabelecidas na licitação;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10.6- Aplicar penalidades ao fornecedor, por descumprimento contratual.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400C7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1</w:t>
      </w:r>
      <w:r w:rsidRPr="00C400C7">
        <w:rPr>
          <w:rFonts w:cs="Calibri"/>
          <w:b/>
          <w:sz w:val="24"/>
          <w:szCs w:val="24"/>
        </w:rPr>
        <w:t xml:space="preserve"> – DO RECEBIMENTO</w:t>
      </w:r>
      <w:r>
        <w:rPr>
          <w:rFonts w:cs="Calibri"/>
          <w:b/>
          <w:sz w:val="24"/>
          <w:szCs w:val="24"/>
        </w:rPr>
        <w:t xml:space="preserve"> DOS PRODUTOS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 xml:space="preserve">.1 – A licitante vencedora deverá </w:t>
      </w:r>
      <w:r>
        <w:rPr>
          <w:rFonts w:cs="Calibri"/>
          <w:sz w:val="24"/>
          <w:szCs w:val="24"/>
        </w:rPr>
        <w:t>entregar os produtos</w:t>
      </w:r>
      <w:r w:rsidRPr="00751F41">
        <w:rPr>
          <w:rFonts w:cs="Calibri"/>
          <w:sz w:val="24"/>
          <w:szCs w:val="24"/>
        </w:rPr>
        <w:t xml:space="preserve"> constantes do objeto no prazo estipulado a contar do recebimento da nota de empenho.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>.2 – A entrega será acompanhada, fiscalizada e atestada pelo Gestor de Contratos ou a quem for expressamente designado.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>.3 – O recebimento poderá ser provisório ou definitivo nos termos da Lei nº 8.666/93. Sempre que for necessário haverá correção até que sejam definitivamente cumpridas as exigências contratuais até o atestado definitivo.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</w:t>
      </w:r>
      <w:r w:rsidRPr="00751F41">
        <w:rPr>
          <w:rFonts w:cs="Calibri"/>
          <w:sz w:val="24"/>
          <w:szCs w:val="24"/>
        </w:rPr>
        <w:t>.4 – Qualquer ocorrência relacionada com a execução do objeto será registrada e determinada à regularização das falhas ou defeitos observados.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400C7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2</w:t>
      </w:r>
      <w:r w:rsidRPr="00C400C7">
        <w:rPr>
          <w:rFonts w:cs="Calibri"/>
          <w:b/>
          <w:sz w:val="24"/>
          <w:szCs w:val="24"/>
        </w:rPr>
        <w:t xml:space="preserve"> – DA </w:t>
      </w:r>
      <w:r>
        <w:rPr>
          <w:rFonts w:cs="Calibri"/>
          <w:b/>
          <w:sz w:val="24"/>
          <w:szCs w:val="24"/>
        </w:rPr>
        <w:t>DESCRIÇÃO E DO ORÇAMENTO</w:t>
      </w:r>
    </w:p>
    <w:p w:rsidR="00A5536B" w:rsidRPr="007969C9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Pr="007969C9">
        <w:rPr>
          <w:rFonts w:cs="Calibri"/>
          <w:sz w:val="24"/>
          <w:szCs w:val="24"/>
        </w:rPr>
        <w:t xml:space="preserve">.1 – O valor estimado para contratação é de </w:t>
      </w:r>
      <w:r w:rsidRPr="008042FA">
        <w:rPr>
          <w:rFonts w:cs="Calibri"/>
          <w:sz w:val="24"/>
          <w:szCs w:val="24"/>
        </w:rPr>
        <w:t xml:space="preserve">R$ </w:t>
      </w:r>
      <w:r>
        <w:rPr>
          <w:rFonts w:cs="Calibri"/>
          <w:sz w:val="24"/>
          <w:szCs w:val="24"/>
        </w:rPr>
        <w:t>94.485,33</w:t>
      </w:r>
      <w:r w:rsidRPr="00BB541B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noventa e quatro mil e quatrocentos e oitenta e cinco reais e trinta e três centavos), </w:t>
      </w:r>
      <w:r w:rsidRPr="007969C9">
        <w:rPr>
          <w:rFonts w:cs="Calibri"/>
          <w:sz w:val="24"/>
          <w:szCs w:val="24"/>
        </w:rPr>
        <w:t>conforme cotação e ou justificativa apresentada à Comissão de Licitação.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12.2- </w:t>
      </w:r>
      <w:r w:rsidRPr="00751F41">
        <w:rPr>
          <w:rFonts w:cs="Calibri"/>
          <w:sz w:val="24"/>
          <w:szCs w:val="24"/>
        </w:rPr>
        <w:t xml:space="preserve">As despesas decorrentes da contratação, objeto desta modalidade de licitação correrão a conta dos recursos destinados no Orçamento deste Poder Legislativo para este exercício financeiro sob a dotação nº </w:t>
      </w:r>
      <w:r w:rsidRPr="00E85672">
        <w:rPr>
          <w:rFonts w:cs="Calibri"/>
          <w:sz w:val="24"/>
          <w:szCs w:val="24"/>
        </w:rPr>
        <w:t>01.01.01.031.0001.2.001.3.3.90.30.00 – Material de Consumo</w:t>
      </w:r>
      <w:r w:rsidRPr="00751F41">
        <w:rPr>
          <w:rFonts w:cs="Calibri"/>
          <w:sz w:val="24"/>
          <w:szCs w:val="24"/>
        </w:rPr>
        <w:t xml:space="preserve"> – Manutenção da Câmara Municipal, Processo Legislativo.</w:t>
      </w:r>
    </w:p>
    <w:p w:rsidR="00A5536B" w:rsidRDefault="00A5536B" w:rsidP="00A5536B">
      <w:pPr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13</w:t>
      </w:r>
      <w:r w:rsidRPr="00751F41">
        <w:rPr>
          <w:rFonts w:cs="Calibri"/>
          <w:b/>
          <w:sz w:val="24"/>
          <w:szCs w:val="24"/>
        </w:rPr>
        <w:t xml:space="preserve"> – DO CRITÉRIO DE JULGAMENTO: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13</w:t>
      </w:r>
      <w:r w:rsidRPr="00751F41">
        <w:rPr>
          <w:rFonts w:cs="Calibri"/>
          <w:sz w:val="24"/>
          <w:szCs w:val="24"/>
        </w:rPr>
        <w:t xml:space="preserve">.1 – O Critério de julgamento </w:t>
      </w:r>
      <w:r w:rsidRPr="005E178B">
        <w:rPr>
          <w:rFonts w:cs="Calibri"/>
          <w:b/>
          <w:sz w:val="24"/>
          <w:szCs w:val="24"/>
        </w:rPr>
        <w:t>MENOR PREÇO POR LOTE</w:t>
      </w:r>
      <w:r>
        <w:rPr>
          <w:rFonts w:cs="Calibri"/>
          <w:sz w:val="24"/>
          <w:szCs w:val="24"/>
        </w:rPr>
        <w:t xml:space="preserve">, modalidade de licitação Carta Convite. </w:t>
      </w: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14</w:t>
      </w:r>
      <w:r w:rsidRPr="00751F41">
        <w:rPr>
          <w:rFonts w:cs="Calibri"/>
          <w:b/>
          <w:sz w:val="24"/>
          <w:szCs w:val="24"/>
        </w:rPr>
        <w:t xml:space="preserve"> – DAS SANÇÕES ADMINISTRATIVAS:</w:t>
      </w:r>
    </w:p>
    <w:p w:rsidR="00A5536B" w:rsidRPr="00751F41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</w:t>
      </w:r>
      <w:r w:rsidRPr="00751F41">
        <w:rPr>
          <w:rFonts w:cs="Calibri"/>
          <w:sz w:val="24"/>
          <w:szCs w:val="24"/>
        </w:rPr>
        <w:t>.1 - A aplicação das sanções administrativas será disciplinada em ato próprio na modalidade de licitação, contrato, Lei nº 8.666/93 e alterações posteriores, etc.</w:t>
      </w: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15</w:t>
      </w:r>
      <w:r w:rsidRPr="00751F41">
        <w:rPr>
          <w:rFonts w:cs="Calibri"/>
          <w:b/>
          <w:sz w:val="24"/>
          <w:szCs w:val="24"/>
        </w:rPr>
        <w:t xml:space="preserve"> – DAS </w:t>
      </w:r>
      <w:r>
        <w:rPr>
          <w:rFonts w:cs="Calibri"/>
          <w:b/>
          <w:sz w:val="24"/>
          <w:szCs w:val="24"/>
        </w:rPr>
        <w:t>DISPOSIÇÕES GERAIS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r w:rsidRPr="00C400C7">
        <w:rPr>
          <w:rFonts w:cs="Calibri"/>
          <w:sz w:val="24"/>
          <w:szCs w:val="24"/>
        </w:rPr>
        <w:t xml:space="preserve">.1- </w:t>
      </w:r>
      <w:r>
        <w:rPr>
          <w:rFonts w:cs="Calibri"/>
          <w:sz w:val="24"/>
          <w:szCs w:val="24"/>
        </w:rPr>
        <w:t>Os casos omissos e as dúvidas suscitadas durante a execução do contrato serão resolvidos pelas partes contratantes de comum acordo e, ainda, de acordo com a Lei nº 8.666/93, de forma escrita, por ser a exigida pela legislação aplicável à execução do presente instrumento;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15.2- O presente instrumento obriga as partes contratantes e aos seus sucessores que, na falta delas, responsabilizar-se-ão pelo seu integral cumprimento;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15.3- Independente de declaração expressa, a simples participação nesta licitação implica a aceitação das condições estipuladas no presente Termo de Referência e submissão total às normas nele contidas. </w:t>
      </w: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51F41" w:rsidRDefault="00A5536B" w:rsidP="00A5536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FERNANDO MENDES NOVAIS</w:t>
      </w:r>
    </w:p>
    <w:p w:rsidR="00A5536B" w:rsidRPr="00F32553" w:rsidRDefault="00A5536B" w:rsidP="00A5536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F32553">
        <w:rPr>
          <w:rFonts w:cs="Calibri"/>
          <w:sz w:val="24"/>
          <w:szCs w:val="24"/>
        </w:rPr>
        <w:t>Presidente da Câmara Municipal de Quirinópolis</w:t>
      </w: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:rsidR="00A5536B" w:rsidRDefault="00A5536B" w:rsidP="00A5536B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9C" w:rsidRDefault="00A0789C" w:rsidP="00A5536B">
      <w:pPr>
        <w:spacing w:after="0" w:line="240" w:lineRule="auto"/>
      </w:pPr>
      <w:r>
        <w:separator/>
      </w:r>
    </w:p>
  </w:endnote>
  <w:endnote w:type="continuationSeparator" w:id="0">
    <w:p w:rsidR="00A0789C" w:rsidRDefault="00A0789C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9C" w:rsidRDefault="00A0789C" w:rsidP="00A5536B">
      <w:pPr>
        <w:spacing w:after="0" w:line="240" w:lineRule="auto"/>
      </w:pPr>
      <w:r>
        <w:separator/>
      </w:r>
    </w:p>
  </w:footnote>
  <w:footnote w:type="continuationSeparator" w:id="0">
    <w:p w:rsidR="00A0789C" w:rsidRDefault="00A0789C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2CE77DFE" wp14:editId="47D9550F">
          <wp:extent cx="921385" cy="66865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A0789C"/>
    <w:rsid w:val="00A5536B"/>
    <w:rsid w:val="00B002ED"/>
    <w:rsid w:val="00B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2021-02-04T12:48:00Z</dcterms:created>
  <dcterms:modified xsi:type="dcterms:W3CDTF">2021-02-04T12:48:00Z</dcterms:modified>
</cp:coreProperties>
</file>